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D5385B">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Business Plan: Kings One-Step-In Restaurant</w:t>
      </w:r>
    </w:p>
    <w:p w:rsidR="000F167F" w:rsidRDefault="00D5385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Name</w:t>
      </w:r>
    </w:p>
    <w:p w:rsidR="000F167F" w:rsidRDefault="00D5385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Colorado Technical University</w:t>
      </w:r>
    </w:p>
    <w:p w:rsidR="000F167F" w:rsidRDefault="00D5385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w:t>
      </w:r>
    </w:p>
    <w:p w:rsidR="000F167F" w:rsidRDefault="00D5385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center"/>
        <w:rPr>
          <w:rFonts w:ascii="Times New Roman" w:eastAsia="Times New Roman" w:hAnsi="Times New Roman" w:cs="Times New Roman"/>
          <w:sz w:val="24"/>
          <w:szCs w:val="24"/>
        </w:rPr>
      </w:pPr>
    </w:p>
    <w:p w:rsidR="000F167F" w:rsidRDefault="000F167F">
      <w:pPr>
        <w:spacing w:after="0" w:line="480" w:lineRule="auto"/>
        <w:jc w:val="both"/>
        <w:rPr>
          <w:rFonts w:ascii="Times New Roman" w:eastAsia="Times New Roman" w:hAnsi="Times New Roman" w:cs="Times New Roman"/>
          <w:sz w:val="24"/>
          <w:szCs w:val="24"/>
        </w:rPr>
      </w:pPr>
    </w:p>
    <w:p w:rsidR="000F167F" w:rsidRDefault="000F167F">
      <w:pPr>
        <w:spacing w:after="0" w:line="480" w:lineRule="auto"/>
        <w:jc w:val="both"/>
        <w:rPr>
          <w:rFonts w:ascii="Times New Roman" w:eastAsia="Times New Roman" w:hAnsi="Times New Roman" w:cs="Times New Roman"/>
          <w:sz w:val="24"/>
          <w:szCs w:val="24"/>
        </w:rPr>
      </w:pPr>
    </w:p>
    <w:p w:rsidR="000F167F" w:rsidRDefault="00D5385B">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Business Plan: Kings One-Step-In Restaurant</w:t>
      </w:r>
    </w:p>
    <w:p w:rsidR="000F167F" w:rsidRDefault="00D5385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Company Information, Mission Statement, and Product/Service</w:t>
      </w:r>
    </w:p>
    <w:p w:rsidR="000F167F" w:rsidRDefault="00D5385B">
      <w:pPr>
        <w:spacing w:after="0" w:line="48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Kings One-Step-In will be a registered and licensed seafood dining restaurant business based in Los Angeles, California. Marylene McCall </w:t>
      </w:r>
      <w:bookmarkStart w:id="0" w:name="_GoBack"/>
      <w:bookmarkEnd w:id="0"/>
      <w:r>
        <w:rPr>
          <w:rFonts w:ascii="Times New Roman" w:hAnsi="Times New Roman" w:cs="Times New Roman"/>
          <w:sz w:val="24"/>
          <w:szCs w:val="24"/>
        </w:rPr>
        <w:t xml:space="preserve">owns the restaurant. The company aims to provide the freshest and healthiest seafood to a wide range of customers in the busy and beautiful city of Los Angeles. The restaurant has 32 employees (2 managers, nine skillful chefs, one accountant, 16 waitresses and waiters, two bartenders, and two-door attendants/customer care service). </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sz w:val="24"/>
          <w:szCs w:val="24"/>
        </w:rPr>
        <w:t>Kings One-Step-</w:t>
      </w:r>
      <w:r w:rsidR="001F05AD">
        <w:rPr>
          <w:rFonts w:ascii="Times New Roman" w:hAnsi="Times New Roman" w:cs="Times New Roman"/>
          <w:sz w:val="24"/>
          <w:szCs w:val="24"/>
        </w:rPr>
        <w:t xml:space="preserve"> </w:t>
      </w:r>
      <w:r>
        <w:rPr>
          <w:rFonts w:ascii="Times New Roman" w:hAnsi="Times New Roman" w:cs="Times New Roman"/>
          <w:sz w:val="24"/>
          <w:szCs w:val="24"/>
        </w:rPr>
        <w:t xml:space="preserve">In’s </w:t>
      </w:r>
      <w:r>
        <w:rPr>
          <w:rFonts w:ascii="Times New Roman" w:hAnsi="Times New Roman" w:cs="Times New Roman"/>
          <w:b/>
          <w:bCs/>
          <w:sz w:val="24"/>
          <w:szCs w:val="24"/>
        </w:rPr>
        <w:t xml:space="preserve">mission </w:t>
      </w:r>
      <w:r>
        <w:rPr>
          <w:rFonts w:ascii="Times New Roman" w:hAnsi="Times New Roman" w:cs="Times New Roman"/>
          <w:sz w:val="24"/>
          <w:szCs w:val="24"/>
        </w:rPr>
        <w:t xml:space="preserve">is to offer residents of the Los Angeles area the best and freshest seafood experience in the area. As a restaurant, we are committed to providing our customers with service quality and value that they expect and deserve. </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Our </w:t>
      </w:r>
      <w:r>
        <w:rPr>
          <w:rFonts w:ascii="Times New Roman" w:hAnsi="Times New Roman" w:cs="Times New Roman"/>
          <w:b/>
          <w:bCs/>
          <w:sz w:val="24"/>
          <w:szCs w:val="24"/>
        </w:rPr>
        <w:t>vision</w:t>
      </w:r>
      <w:r>
        <w:rPr>
          <w:rFonts w:ascii="Times New Roman" w:hAnsi="Times New Roman" w:cs="Times New Roman"/>
          <w:sz w:val="24"/>
          <w:szCs w:val="24"/>
        </w:rPr>
        <w:t xml:space="preserve"> is to become the first seafood restaurant that deals purely with seafood in the area, measured by key stakeholders such as employees, customers, and the community we operate in. Our core values include:</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Performance excellence-We are committed to responsibility and strive to meet expectations </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Teamwork-We are committed as a team to delivering the best seafood restaurant experience </w:t>
      </w:r>
    </w:p>
    <w:p w:rsidR="000F167F" w:rsidRDefault="00D5385B">
      <w:pPr>
        <w:spacing w:after="0" w:line="480" w:lineRule="auto"/>
        <w:rPr>
          <w:rFonts w:ascii="Times New Roman" w:eastAsia="Times New Roman" w:hAnsi="Times New Roman" w:cs="Times New Roman"/>
          <w:sz w:val="24"/>
          <w:szCs w:val="24"/>
        </w:rPr>
      </w:pPr>
      <w:r>
        <w:rPr>
          <w:rFonts w:ascii="Times New Roman" w:hAnsi="Times New Roman" w:cs="Times New Roman"/>
          <w:sz w:val="24"/>
          <w:szCs w:val="24"/>
        </w:rPr>
        <w:t>Integrity- We are guided by dignity and respect for our customers and other stakeholders</w:t>
      </w:r>
    </w:p>
    <w:p w:rsidR="000F167F" w:rsidRDefault="00D5385B">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Marketing and Advertising</w:t>
      </w:r>
    </w:p>
    <w:p w:rsidR="000F167F" w:rsidRPr="001F05AD" w:rsidRDefault="00D5385B" w:rsidP="001F05AD">
      <w:pPr>
        <w:spacing w:after="0" w:line="480" w:lineRule="auto"/>
        <w:jc w:val="center"/>
        <w:rPr>
          <w:rFonts w:ascii="Times New Roman" w:eastAsia="Times New Roman" w:hAnsi="Times New Roman" w:cs="Times New Roman"/>
          <w:b/>
          <w:sz w:val="24"/>
          <w:szCs w:val="24"/>
        </w:rPr>
      </w:pPr>
      <w:r w:rsidRPr="001F05AD">
        <w:rPr>
          <w:rFonts w:ascii="Times New Roman" w:eastAsia="Times New Roman" w:hAnsi="Times New Roman" w:cs="Times New Roman"/>
          <w:b/>
          <w:sz w:val="24"/>
          <w:szCs w:val="24"/>
        </w:rPr>
        <w:t>Add a copy of your logo that identifies your company or brand.</w:t>
      </w:r>
    </w:p>
    <w:p w:rsidR="000F167F" w:rsidRDefault="00D5385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2202180" cy="1383030"/>
            <wp:effectExtent l="0" t="0" r="7620" b="7620"/>
            <wp:docPr id="1" name="Picture 1" descr="tuna-with-fork-and-knife-for-seafood-restaurant-9279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una-with-fork-and-knife-for-seafood-restaurant-9279ld"/>
                    <pic:cNvPicPr>
                      <a:picLocks noChangeAspect="1"/>
                    </pic:cNvPicPr>
                  </pic:nvPicPr>
                  <pic:blipFill>
                    <a:blip r:embed="rId7" cstate="print"/>
                    <a:stretch>
                      <a:fillRect/>
                    </a:stretch>
                  </pic:blipFill>
                  <pic:spPr>
                    <a:xfrm>
                      <a:off x="0" y="0"/>
                      <a:ext cx="2202180" cy="1383030"/>
                    </a:xfrm>
                    <a:prstGeom prst="rect">
                      <a:avLst/>
                    </a:prstGeom>
                  </pic:spPr>
                </pic:pic>
              </a:graphicData>
            </a:graphic>
          </wp:inline>
        </w:drawing>
      </w:r>
    </w:p>
    <w:p w:rsidR="000F167F" w:rsidRPr="001F05AD" w:rsidRDefault="00D5385B" w:rsidP="001F05AD">
      <w:pPr>
        <w:spacing w:after="0" w:line="480" w:lineRule="auto"/>
        <w:jc w:val="center"/>
        <w:rPr>
          <w:rFonts w:ascii="Times New Roman" w:eastAsia="Times New Roman" w:hAnsi="Times New Roman" w:cs="Times New Roman"/>
          <w:b/>
          <w:sz w:val="24"/>
          <w:szCs w:val="24"/>
        </w:rPr>
      </w:pPr>
      <w:r w:rsidRPr="001F05AD">
        <w:rPr>
          <w:rFonts w:ascii="Times New Roman" w:eastAsia="Times New Roman" w:hAnsi="Times New Roman" w:cs="Times New Roman"/>
          <w:b/>
          <w:sz w:val="24"/>
          <w:szCs w:val="24"/>
        </w:rPr>
        <w:lastRenderedPageBreak/>
        <w:t>What is the market for your global small business? Include regions served and competitors.</w:t>
      </w:r>
    </w:p>
    <w:p w:rsidR="000F167F" w:rsidRDefault="00D538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 nutritional value and delicious taste of seafood, we intend to reach out to people of all ages (Hardy &amp; Lee, 2010). However, we are targeting the elderly population who are conscious of the healthy benefits of seafood. Our target market currently includes Long Beach, Santa Monica, Malibu, and Burbank areas and their </w:t>
      </w:r>
      <w:r w:rsidR="001F05AD">
        <w:rPr>
          <w:rFonts w:ascii="Times New Roman" w:hAnsi="Times New Roman" w:cs="Times New Roman"/>
          <w:sz w:val="24"/>
          <w:szCs w:val="24"/>
        </w:rPr>
        <w:t>surroundings</w:t>
      </w:r>
      <w:r>
        <w:rPr>
          <w:rFonts w:ascii="Times New Roman" w:hAnsi="Times New Roman" w:cs="Times New Roman"/>
          <w:sz w:val="24"/>
          <w:szCs w:val="24"/>
        </w:rPr>
        <w:t xml:space="preserve">. Our key competitors include COD Seafood House &amp; Raw Bar, Alaska Seafood Restaurant, and Seafood Xperience. </w:t>
      </w:r>
    </w:p>
    <w:p w:rsidR="000F167F" w:rsidRPr="001F05AD" w:rsidRDefault="00D5385B" w:rsidP="001F05AD">
      <w:pPr>
        <w:spacing w:after="0" w:line="480" w:lineRule="auto"/>
        <w:jc w:val="center"/>
        <w:rPr>
          <w:rFonts w:ascii="Times New Roman" w:eastAsia="Times New Roman" w:hAnsi="Times New Roman" w:cs="Times New Roman"/>
          <w:b/>
          <w:sz w:val="24"/>
          <w:szCs w:val="24"/>
        </w:rPr>
      </w:pPr>
      <w:r w:rsidRPr="001F05AD">
        <w:rPr>
          <w:rFonts w:ascii="Times New Roman" w:eastAsia="Times New Roman" w:hAnsi="Times New Roman" w:cs="Times New Roman"/>
          <w:b/>
          <w:sz w:val="24"/>
          <w:szCs w:val="24"/>
        </w:rPr>
        <w:t>Describe the commercial that you would create for the product or services offered. Where would you place your advertisement (e.g., social media, TV, radio) and who is your target audience for your advertisement?</w:t>
      </w:r>
    </w:p>
    <w:p w:rsidR="000F167F" w:rsidRDefault="00D538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our business targets people of all ages, we intend to use mix advertising strategy that uses different advertising platforms. First, we want to use social media as the primary advertising tool. As a small business just starting up, it is essential to consider the cost factor when choosing an advertising strategy. As Peyton (2021) explains, the seafood industry is expanding across the United States because of the health and nutritional benefits associated with the food content. The Asia Pacific region still leads with seafood businesses (Report Linker, 2021). We will use major social media platforms such as Instagram and Facebook to post enticing pictures about the restaurant and menu and special events or promotional events. Also, we intend to use traditional platforms such as television adverts. This mixed strategy will help the restaurant reach different age groups. </w:t>
      </w:r>
    </w:p>
    <w:p w:rsidR="000F167F" w:rsidRDefault="00D5385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Projected Financials and Growth Potential</w:t>
      </w:r>
    </w:p>
    <w:p w:rsidR="000F167F" w:rsidRPr="001F05AD" w:rsidRDefault="00D5385B" w:rsidP="001F05AD">
      <w:pPr>
        <w:spacing w:after="0" w:line="480" w:lineRule="auto"/>
        <w:jc w:val="center"/>
        <w:rPr>
          <w:rFonts w:ascii="Times New Roman" w:eastAsia="Times New Roman" w:hAnsi="Times New Roman" w:cs="Times New Roman"/>
          <w:b/>
          <w:sz w:val="24"/>
          <w:szCs w:val="24"/>
        </w:rPr>
      </w:pPr>
      <w:r w:rsidRPr="001F05AD">
        <w:rPr>
          <w:rFonts w:ascii="Times New Roman" w:eastAsia="Times New Roman" w:hAnsi="Times New Roman" w:cs="Times New Roman"/>
          <w:b/>
          <w:sz w:val="24"/>
          <w:szCs w:val="24"/>
        </w:rPr>
        <w:t>Financials: Include the projected operational financial needs for your organization and the potential investments needed.</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figure below shows the startup cost for Kings One-Step-In restaurant. </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114300" distR="114300">
            <wp:extent cx="4681855" cy="2651125"/>
            <wp:effectExtent l="4445" t="4445" r="1905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F167F" w:rsidRDefault="00D538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startup cost, as shown in the above figure, will come from different sources. The current assets, which add to $1.257 million, will help expand the restaurant base. An investment of $1.538 million is required. We intend to finance this budget through savings and loans. A loan of $1 million will help fill the deficit of the startup cost. The startup expenses have been broken down further in the table below. The table highlights the activities that would need investing and the amount that would be required to set up the first restaurants in Los Angeles. </w:t>
      </w:r>
    </w:p>
    <w:tbl>
      <w:tblPr>
        <w:tblStyle w:val="TableGrid"/>
        <w:tblW w:w="0" w:type="auto"/>
        <w:tblLook w:val="04A0"/>
      </w:tblPr>
      <w:tblGrid>
        <w:gridCol w:w="4261"/>
        <w:gridCol w:w="4261"/>
      </w:tblGrid>
      <w:tr w:rsidR="000F167F">
        <w:tc>
          <w:tcPr>
            <w:tcW w:w="8522" w:type="dxa"/>
            <w:gridSpan w:val="2"/>
          </w:tcPr>
          <w:p w:rsidR="000F167F" w:rsidRDefault="00D5385B">
            <w:pPr>
              <w:widowControl/>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Startup Expenses</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Legal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$100,000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Consultants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Insurance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$40,000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Rent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$150,000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Signs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$1,200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Total Startup Expenses </w:t>
            </w:r>
          </w:p>
        </w:tc>
        <w:tc>
          <w:tcPr>
            <w:tcW w:w="4261" w:type="dxa"/>
          </w:tcPr>
          <w:p w:rsidR="000F167F" w:rsidRDefault="00D5385B">
            <w:pPr>
              <w:widowControl/>
              <w:spacing w:after="0" w:line="480" w:lineRule="auto"/>
              <w:rPr>
                <w:rFonts w:ascii="Times New Roman" w:hAnsi="Times New Roman" w:cs="Times New Roman"/>
                <w:b/>
                <w:bCs/>
                <w:sz w:val="24"/>
                <w:szCs w:val="24"/>
              </w:rPr>
            </w:pPr>
            <w:r>
              <w:rPr>
                <w:rFonts w:ascii="Times New Roman" w:hAnsi="Times New Roman" w:cs="Times New Roman"/>
                <w:b/>
                <w:bCs/>
                <w:sz w:val="24"/>
                <w:szCs w:val="24"/>
              </w:rPr>
              <w:t>$291, 200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Startup Assets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$1,257,000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Cash required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$1,000,000</w:t>
            </w:r>
          </w:p>
        </w:tc>
      </w:tr>
      <w:tr w:rsidR="000F167F">
        <w:tc>
          <w:tcPr>
            <w:tcW w:w="4261" w:type="dxa"/>
          </w:tcPr>
          <w:p w:rsidR="000F167F" w:rsidRDefault="00D5385B">
            <w:pPr>
              <w:widowControl/>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Total Assets </w:t>
            </w:r>
          </w:p>
        </w:tc>
        <w:tc>
          <w:tcPr>
            <w:tcW w:w="4261" w:type="dxa"/>
          </w:tcPr>
          <w:p w:rsidR="000F167F" w:rsidRDefault="00D5385B">
            <w:pPr>
              <w:widowControl/>
              <w:spacing w:after="0" w:line="480" w:lineRule="auto"/>
              <w:rPr>
                <w:rFonts w:ascii="Times New Roman" w:hAnsi="Times New Roman" w:cs="Times New Roman"/>
                <w:b/>
                <w:bCs/>
                <w:sz w:val="24"/>
                <w:szCs w:val="24"/>
              </w:rPr>
            </w:pPr>
            <w:r>
              <w:rPr>
                <w:rFonts w:ascii="Times New Roman" w:hAnsi="Times New Roman" w:cs="Times New Roman"/>
                <w:b/>
                <w:bCs/>
                <w:sz w:val="24"/>
                <w:szCs w:val="24"/>
              </w:rPr>
              <w:t>$2,257,000</w:t>
            </w:r>
          </w:p>
        </w:tc>
      </w:tr>
      <w:tr w:rsidR="000F167F">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Total Requirements </w:t>
            </w:r>
          </w:p>
        </w:tc>
        <w:tc>
          <w:tcPr>
            <w:tcW w:w="4261"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$2,548,200</w:t>
            </w:r>
          </w:p>
        </w:tc>
      </w:tr>
    </w:tbl>
    <w:p w:rsidR="000F167F" w:rsidRDefault="000F167F">
      <w:pPr>
        <w:spacing w:after="0" w:line="480" w:lineRule="auto"/>
        <w:rPr>
          <w:rFonts w:ascii="Times New Roman" w:hAnsi="Times New Roman" w:cs="Times New Roman"/>
          <w:sz w:val="24"/>
          <w:szCs w:val="24"/>
        </w:rPr>
      </w:pPr>
    </w:p>
    <w:p w:rsidR="000F167F" w:rsidRPr="001F05AD" w:rsidRDefault="00D5385B" w:rsidP="001F05AD">
      <w:pPr>
        <w:spacing w:after="0" w:line="480" w:lineRule="auto"/>
        <w:jc w:val="center"/>
        <w:rPr>
          <w:rFonts w:ascii="Times New Roman" w:eastAsia="Times New Roman" w:hAnsi="Times New Roman" w:cs="Times New Roman"/>
          <w:b/>
          <w:sz w:val="24"/>
          <w:szCs w:val="24"/>
        </w:rPr>
      </w:pPr>
      <w:r w:rsidRPr="001F05AD">
        <w:rPr>
          <w:rFonts w:ascii="Times New Roman" w:eastAsia="Times New Roman" w:hAnsi="Times New Roman" w:cs="Times New Roman"/>
          <w:b/>
          <w:sz w:val="24"/>
          <w:szCs w:val="24"/>
        </w:rPr>
        <w:t>Growth Potential: Include projected financial and market growth of the company for the next 5 years.</w:t>
      </w:r>
    </w:p>
    <w:p w:rsidR="000F167F" w:rsidRDefault="00D5385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following figure shows the projected financial growth in the next five years. </w:t>
      </w:r>
    </w:p>
    <w:tbl>
      <w:tblPr>
        <w:tblStyle w:val="TableGrid"/>
        <w:tblW w:w="0" w:type="auto"/>
        <w:tblLook w:val="04A0"/>
      </w:tblPr>
      <w:tblGrid>
        <w:gridCol w:w="1363"/>
        <w:gridCol w:w="1216"/>
        <w:gridCol w:w="1216"/>
        <w:gridCol w:w="1217"/>
        <w:gridCol w:w="1217"/>
        <w:gridCol w:w="1217"/>
        <w:gridCol w:w="1217"/>
      </w:tblGrid>
      <w:tr w:rsidR="000F167F">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Potential Customers </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Growth </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Year 1</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Year 2</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Year 3</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Year 4</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Year 5</w:t>
            </w:r>
          </w:p>
        </w:tc>
      </w:tr>
      <w:tr w:rsidR="000F167F">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Residential Community </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43%</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24,000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30,000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35,000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45,000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55,000</w:t>
            </w:r>
          </w:p>
        </w:tc>
      </w:tr>
      <w:tr w:rsidR="000F167F">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Tourist and passers-by</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31%</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21,000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24,000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28,000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38,000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45,000</w:t>
            </w:r>
          </w:p>
        </w:tc>
      </w:tr>
      <w:tr w:rsidR="000F167F">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Event planners </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26%</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18,000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15,000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21,000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29,000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36,000</w:t>
            </w:r>
          </w:p>
        </w:tc>
      </w:tr>
      <w:tr w:rsidR="000F167F">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 xml:space="preserve">Total </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100%</w:t>
            </w:r>
          </w:p>
        </w:tc>
        <w:tc>
          <w:tcPr>
            <w:tcW w:w="1216"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63,000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69,000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84,000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112,000</w:t>
            </w:r>
          </w:p>
        </w:tc>
        <w:tc>
          <w:tcPr>
            <w:tcW w:w="1217" w:type="dxa"/>
          </w:tcPr>
          <w:p w:rsidR="000F167F" w:rsidRDefault="00D5385B">
            <w:pPr>
              <w:widowControl/>
              <w:spacing w:after="0" w:line="480" w:lineRule="auto"/>
              <w:rPr>
                <w:rFonts w:ascii="Times New Roman" w:hAnsi="Times New Roman" w:cs="Times New Roman"/>
                <w:sz w:val="24"/>
                <w:szCs w:val="24"/>
              </w:rPr>
            </w:pPr>
            <w:r>
              <w:rPr>
                <w:rFonts w:ascii="Times New Roman" w:hAnsi="Times New Roman" w:cs="Times New Roman"/>
                <w:sz w:val="24"/>
                <w:szCs w:val="24"/>
              </w:rPr>
              <w:t>136,000</w:t>
            </w:r>
          </w:p>
        </w:tc>
      </w:tr>
    </w:tbl>
    <w:p w:rsidR="000F167F" w:rsidRDefault="000F167F">
      <w:pPr>
        <w:spacing w:after="0" w:line="480" w:lineRule="auto"/>
        <w:rPr>
          <w:rFonts w:ascii="Times New Roman" w:hAnsi="Times New Roman" w:cs="Times New Roman"/>
          <w:sz w:val="24"/>
          <w:szCs w:val="24"/>
        </w:rPr>
      </w:pPr>
    </w:p>
    <w:p w:rsidR="000F167F" w:rsidRDefault="00D5385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above table shows the critical market segmentation of our restaurant in the target market. The market segmentation also offers the potential growth in revenue in the next five years. The first and primary market is the residential community. The residential neighborhood of Los Angeles will be the direct target customers who we estimate to comprise about 43% of the entire market. The second segment is event planners. Los Angeles is a busy city with many events, which will serve as our potential market. The other market comprises tourists and passer-by, which will contribute to 31% of the market. </w:t>
      </w:r>
    </w:p>
    <w:p w:rsidR="000F167F" w:rsidRDefault="00D5385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Conclusion</w:t>
      </w:r>
    </w:p>
    <w:p w:rsidR="000F167F" w:rsidRDefault="00D5385B">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a business in a busy location like Los Angeles will be difficult and expensive, but we are committed to seeing the project through. The financial growth projections have shown that the business can make a profit in the next five years. If we go with the plan and secure adequate resources, establishing Kings One-Step-In restaurant may be actualized. Currently, the challenge is securing sufficient financial resources to cater to the entire startup cost. </w:t>
      </w: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0F167F">
      <w:pPr>
        <w:spacing w:after="0" w:line="480" w:lineRule="auto"/>
        <w:jc w:val="both"/>
        <w:rPr>
          <w:rFonts w:ascii="Times New Roman" w:eastAsia="Times New Roman" w:hAnsi="Times New Roman" w:cs="Times New Roman"/>
          <w:b/>
          <w:bCs/>
          <w:sz w:val="24"/>
          <w:szCs w:val="24"/>
        </w:rPr>
      </w:pPr>
    </w:p>
    <w:p w:rsidR="000F167F" w:rsidRDefault="00D5385B">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References</w:t>
      </w:r>
    </w:p>
    <w:p w:rsidR="000F167F" w:rsidRDefault="00D5385B">
      <w:pPr>
        <w:spacing w:line="48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Hardy, R. W., &amp; Lee, C. S. (2010). Aquaculture feed and seafood quality. </w:t>
      </w:r>
      <w:r>
        <w:rPr>
          <w:rFonts w:ascii="Times New Roman" w:eastAsia="SimSun" w:hAnsi="Times New Roman" w:cs="Times New Roman"/>
          <w:i/>
          <w:iCs/>
          <w:color w:val="222222"/>
          <w:sz w:val="24"/>
          <w:szCs w:val="24"/>
          <w:shd w:val="clear" w:color="auto" w:fill="FFFFFF"/>
        </w:rPr>
        <w:t>Bulletin of Fisheries Research and Development Agency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31</w:t>
      </w:r>
      <w:r>
        <w:rPr>
          <w:rFonts w:ascii="Times New Roman" w:eastAsia="SimSun" w:hAnsi="Times New Roman" w:cs="Times New Roman"/>
          <w:color w:val="222222"/>
          <w:sz w:val="24"/>
          <w:szCs w:val="24"/>
          <w:shd w:val="clear" w:color="auto" w:fill="FFFFFF"/>
        </w:rPr>
        <w:t>, 43-50.</w:t>
      </w:r>
    </w:p>
    <w:p w:rsidR="000F167F" w:rsidRDefault="00D5385B">
      <w:pPr>
        <w:spacing w:line="480" w:lineRule="auto"/>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Peyton, J. (2021). Seafood Entrées. In </w:t>
      </w:r>
      <w:r>
        <w:rPr>
          <w:rFonts w:ascii="Times New Roman" w:eastAsia="SimSun" w:hAnsi="Times New Roman" w:cs="Times New Roman"/>
          <w:i/>
          <w:iCs/>
          <w:color w:val="222222"/>
          <w:sz w:val="24"/>
          <w:szCs w:val="24"/>
          <w:shd w:val="clear" w:color="auto" w:fill="FFFFFF"/>
        </w:rPr>
        <w:t>Naturally Healthy Mexican Cooking</w:t>
      </w:r>
      <w:r>
        <w:rPr>
          <w:rFonts w:ascii="Times New Roman" w:eastAsia="SimSun" w:hAnsi="Times New Roman" w:cs="Times New Roman"/>
          <w:color w:val="222222"/>
          <w:sz w:val="24"/>
          <w:szCs w:val="24"/>
          <w:shd w:val="clear" w:color="auto" w:fill="FFFFFF"/>
        </w:rPr>
        <w:t> (pp. 187-213). University of Texas Press.</w:t>
      </w:r>
    </w:p>
    <w:p w:rsidR="000F167F" w:rsidRDefault="00D5385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Report Linker. (2021, August 25). “Global Food Service Disposable Market Analysis &amp; Trends-Industry Forecast to 2028.” </w:t>
      </w:r>
      <w:r>
        <w:rPr>
          <w:rFonts w:ascii="Times New Roman" w:hAnsi="Times New Roman" w:cs="Times New Roman"/>
          <w:i/>
          <w:iCs/>
          <w:sz w:val="24"/>
          <w:szCs w:val="24"/>
        </w:rPr>
        <w:t>Global Newswire</w:t>
      </w:r>
      <w:r>
        <w:rPr>
          <w:rFonts w:ascii="Times New Roman" w:hAnsi="Times New Roman" w:cs="Times New Roman"/>
          <w:sz w:val="24"/>
          <w:szCs w:val="24"/>
        </w:rPr>
        <w:t xml:space="preserve">. </w:t>
      </w:r>
      <w:hyperlink r:id="rId9" w:history="1">
        <w:r>
          <w:rPr>
            <w:rStyle w:val="Hyperlink"/>
            <w:rFonts w:ascii="Times New Roman" w:hAnsi="Times New Roman"/>
            <w:sz w:val="24"/>
            <w:szCs w:val="24"/>
          </w:rPr>
          <w:t>https://www.globenewswire.com/news-release/2021/08/25/2286019/0/en/Global-Food-Service-Disposable-Market-Analysis-Trends-Industry-Forecast-to-2028.html</w:t>
        </w:r>
      </w:hyperlink>
    </w:p>
    <w:p w:rsidR="000F167F" w:rsidRDefault="000F167F">
      <w:pPr>
        <w:spacing w:line="480" w:lineRule="auto"/>
        <w:ind w:left="720" w:hanging="720"/>
        <w:rPr>
          <w:rFonts w:ascii="Times New Roman" w:hAnsi="Times New Roman" w:cs="Times New Roman"/>
          <w:sz w:val="24"/>
          <w:szCs w:val="24"/>
        </w:rPr>
      </w:pPr>
    </w:p>
    <w:p w:rsidR="000F167F" w:rsidRDefault="000F167F">
      <w:pPr>
        <w:spacing w:after="0" w:line="480" w:lineRule="auto"/>
        <w:rPr>
          <w:rFonts w:ascii="Times New Roman" w:hAnsi="Times New Roman" w:cs="Times New Roman"/>
          <w:sz w:val="24"/>
          <w:szCs w:val="24"/>
        </w:rPr>
      </w:pPr>
    </w:p>
    <w:sectPr w:rsidR="000F167F" w:rsidSect="000F167F">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7C2" w:rsidRDefault="005457C2">
      <w:pPr>
        <w:spacing w:line="240" w:lineRule="auto"/>
      </w:pPr>
      <w:r>
        <w:separator/>
      </w:r>
    </w:p>
  </w:endnote>
  <w:endnote w:type="continuationSeparator" w:id="1">
    <w:p w:rsidR="005457C2" w:rsidRDefault="005457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7C2" w:rsidRDefault="005457C2">
      <w:pPr>
        <w:spacing w:after="0"/>
      </w:pPr>
      <w:r>
        <w:separator/>
      </w:r>
    </w:p>
  </w:footnote>
  <w:footnote w:type="continuationSeparator" w:id="1">
    <w:p w:rsidR="005457C2" w:rsidRDefault="005457C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67F" w:rsidRDefault="00FC5B73">
    <w:pPr>
      <w:pStyle w:val="Header"/>
    </w:pPr>
    <w:r>
      <w:pict>
        <v:shapetype id="_x0000_t202" coordsize="21600,21600" o:spt="202" path="m,l,21600r21600,l21600,xe">
          <v:stroke joinstyle="miter"/>
          <v:path gradientshapeok="t" o:connecttype="rect"/>
        </v:shapetype>
        <v:shape id="Text Box 1" o:spid="_x0000_s1026" type="#_x0000_t202" style="position:absolute;margin-left:208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y0qlvXAQAAxgMAAA4AAAAAAAAAAQAgAAAA&#10;HgEAAGRycy9lMm9Eb2MueG1sUEsFBgAAAAAGAAYAWQEAAGcFAAAAAA==&#10;" filled="f" stroked="f">
          <v:textbox style="mso-fit-shape-to-text:t" inset="0,0,0,0">
            <w:txbxContent>
              <w:p w:rsidR="000F167F" w:rsidRDefault="00FC5B73">
                <w:pPr>
                  <w:pStyle w:val="Header"/>
                  <w:rPr>
                    <w:rFonts w:ascii="Times New Roman" w:hAnsi="Times New Roman" w:cs="Times New Roman"/>
                    <w:sz w:val="24"/>
                    <w:szCs w:val="24"/>
                  </w:rPr>
                </w:pPr>
                <w:r>
                  <w:rPr>
                    <w:rFonts w:ascii="Times New Roman" w:hAnsi="Times New Roman" w:cs="Times New Roman"/>
                    <w:sz w:val="24"/>
                    <w:szCs w:val="24"/>
                  </w:rPr>
                  <w:fldChar w:fldCharType="begin"/>
                </w:r>
                <w:r w:rsidR="00D5385B">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1395C">
                  <w:rPr>
                    <w:rFonts w:ascii="Times New Roman" w:hAnsi="Times New Roman" w:cs="Times New Roman"/>
                    <w:noProof/>
                    <w:sz w:val="24"/>
                    <w:szCs w:val="24"/>
                  </w:rPr>
                  <w:t>2</w:t>
                </w:r>
                <w:r>
                  <w:rPr>
                    <w:rFonts w:ascii="Times New Roman" w:hAnsi="Times New Roman" w:cs="Times New Roman"/>
                    <w:sz w:val="24"/>
                    <w:szCs w:val="24"/>
                  </w:rPr>
                  <w:fldChar w:fldCharType="end"/>
                </w:r>
              </w:p>
            </w:txbxContent>
          </v:textbox>
          <w10:wrap anchorx="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BD7CEE"/>
    <w:rsid w:val="000F167F"/>
    <w:rsid w:val="001F05AD"/>
    <w:rsid w:val="003A7DFA"/>
    <w:rsid w:val="005457C2"/>
    <w:rsid w:val="00A84FFA"/>
    <w:rsid w:val="00BD7CEE"/>
    <w:rsid w:val="00C1395C"/>
    <w:rsid w:val="00D5385B"/>
    <w:rsid w:val="00EB0DA5"/>
    <w:rsid w:val="00FC5B73"/>
    <w:rsid w:val="0D0C6866"/>
    <w:rsid w:val="3EE92EF9"/>
    <w:rsid w:val="71985D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qFormat="1"/>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1"/>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qFormat="1"/>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qFormat="1"/>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7F"/>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rsid w:val="000F167F"/>
    <w:pPr>
      <w:tabs>
        <w:tab w:val="center" w:pos="4153"/>
        <w:tab w:val="right" w:pos="8306"/>
      </w:tabs>
      <w:snapToGrid w:val="0"/>
    </w:pPr>
    <w:rPr>
      <w:sz w:val="18"/>
      <w:szCs w:val="18"/>
    </w:rPr>
  </w:style>
  <w:style w:type="paragraph" w:styleId="Header">
    <w:name w:val="header"/>
    <w:basedOn w:val="Normal"/>
    <w:uiPriority w:val="99"/>
    <w:semiHidden/>
    <w:unhideWhenUsed/>
    <w:rsid w:val="000F167F"/>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0F167F"/>
    <w:rPr>
      <w:rFonts w:cs="Times New Roman"/>
      <w:color w:val="0563C1" w:themeColor="hyperlink"/>
      <w:u w:val="single"/>
    </w:rPr>
  </w:style>
  <w:style w:type="table" w:styleId="TableGrid">
    <w:name w:val="Table Grid"/>
    <w:basedOn w:val="TableNormal"/>
    <w:rsid w:val="000F167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xt-black">
    <w:name w:val="txt-black"/>
    <w:basedOn w:val="DefaultParagraphFont"/>
    <w:qFormat/>
    <w:rsid w:val="000F167F"/>
  </w:style>
  <w:style w:type="character" w:customStyle="1" w:styleId="txt-light-blue">
    <w:name w:val="txt-light-blue"/>
    <w:basedOn w:val="DefaultParagraphFont"/>
    <w:rsid w:val="000F167F"/>
  </w:style>
  <w:style w:type="paragraph" w:styleId="BalloonText">
    <w:name w:val="Balloon Text"/>
    <w:basedOn w:val="Normal"/>
    <w:link w:val="BalloonTextChar"/>
    <w:uiPriority w:val="99"/>
    <w:semiHidden/>
    <w:unhideWhenUsed/>
    <w:rsid w:val="001F0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lobenewswire.com/news-release/2021/08/25/2286019/0/en/Global-Food-Service-Disposable-Market-Analysis-Trends-Industry-Forecast-to-2028.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0"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plotArea>
      <c:layout/>
      <c:barChart>
        <c:barDir val="col"/>
        <c:grouping val="clustered"/>
        <c:ser>
          <c:idx val="0"/>
          <c:order val="0"/>
          <c:tx>
            <c:strRef>
              <c:f>Sheet1!$B$1</c:f>
              <c:strCache>
                <c:ptCount val="1"/>
                <c:pt idx="0">
                  <c:v>Startup Cost</c:v>
                </c:pt>
              </c:strCache>
            </c:strRef>
          </c:tx>
          <c:spPr>
            <a:solidFill>
              <a:schemeClr val="accent1"/>
            </a:solidFill>
            <a:ln>
              <a:noFill/>
            </a:ln>
            <a:effectLst/>
          </c:spPr>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Expenses </c:v>
                </c:pt>
                <c:pt idx="1">
                  <c:v>Assets </c:v>
                </c:pt>
                <c:pt idx="2">
                  <c:v>Investment </c:v>
                </c:pt>
                <c:pt idx="3">
                  <c:v>Loans </c:v>
                </c:pt>
              </c:strCache>
            </c:strRef>
          </c:cat>
          <c:val>
            <c:numRef>
              <c:f>Sheet1!$B$2:$B$5</c:f>
              <c:numCache>
                <c:formatCode>General</c:formatCode>
                <c:ptCount val="4"/>
                <c:pt idx="0">
                  <c:v>0.53</c:v>
                </c:pt>
                <c:pt idx="1">
                  <c:v>1.2569999999999992</c:v>
                </c:pt>
                <c:pt idx="2">
                  <c:v>1.538</c:v>
                </c:pt>
                <c:pt idx="3" formatCode="&quot;$&quot;#,##0_);[Red]\(&quot;$&quot;#,##0\)">
                  <c:v>1.2</c:v>
                </c:pt>
              </c:numCache>
            </c:numRef>
          </c:val>
        </c:ser>
        <c:dLbls>
          <c:showVal val="1"/>
        </c:dLbls>
        <c:gapWidth val="219"/>
        <c:overlap val="-27"/>
        <c:axId val="93711744"/>
        <c:axId val="93931008"/>
      </c:barChart>
      <c:catAx>
        <c:axId val="93711744"/>
        <c:scaling>
          <c:orientation val="minMax"/>
        </c:scaling>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931008"/>
        <c:crosses val="autoZero"/>
        <c:auto val="1"/>
        <c:lblAlgn val="ctr"/>
        <c:lblOffset val="100"/>
      </c:catAx>
      <c:valAx>
        <c:axId val="939310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3711744"/>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noFill/>
    <a:ln w="9525" cap="flat" cmpd="sng" algn="ctr">
      <a:solidFill>
        <a:schemeClr val="tx1">
          <a:lumMod val="15000"/>
          <a:lumOff val="85000"/>
        </a:schemeClr>
      </a:solidFill>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973</Words>
  <Characters>5550</Characters>
  <Application>Microsoft Office Word</Application>
  <DocSecurity>0</DocSecurity>
  <Lines>46</Lines>
  <Paragraphs>13</Paragraphs>
  <ScaleCrop>false</ScaleCrop>
  <Company>CEC</Company>
  <LinksUpToDate>false</LinksUpToDate>
  <CharactersWithSpaces>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Donohue</dc:creator>
  <cp:lastModifiedBy>Kevin</cp:lastModifiedBy>
  <cp:revision>2</cp:revision>
  <dcterms:created xsi:type="dcterms:W3CDTF">2021-11-15T19:43:00Z</dcterms:created>
  <dcterms:modified xsi:type="dcterms:W3CDTF">2021-11-15T19:43:00Z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0F6796795BDA4C8CB1C5B69AFDF9BC7B</vt:lpwstr>
  </property>
</Properties>
</file>